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CC6A11" w:rsidRPr="00CC6A11" w:rsidTr="00CC6A11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CC6A11" w:rsidRPr="00CC6A11" w:rsidRDefault="00CC6A11" w:rsidP="00CC6A11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20"/>
                <w:szCs w:val="20"/>
              </w:rPr>
              <w:t>Na osnovu članka 30. stavak 4. Zakona o komunalnom gospodarstvu   (Narodne novine broj 26/03.pročišćeni tekst i 82/04. i 110/04.) te članka 9. Statuta općine Brckovljani (Službeni glasnik općine Brckovljani broj 05/01, i 10/06.) Općinsko vijeće općine Brckovljani na 12. sjednici održanoj 08.12.2006. godine donijelo je</w:t>
            </w:r>
          </w:p>
        </w:tc>
        <w:tc>
          <w:tcPr>
            <w:tcW w:w="1100" w:type="pct"/>
            <w:vAlign w:val="center"/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6A11" w:rsidRPr="00CC6A11" w:rsidRDefault="00CC6A11" w:rsidP="00CC6A11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PROGRAM GRADNJE OBJEKATA  KOMUNALNE INFRASTRUKTURE </w:t>
      </w:r>
      <w:r w:rsidRPr="00CC6A1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2007. godini</w:t>
      </w:r>
    </w:p>
    <w:p w:rsidR="00CC6A11" w:rsidRPr="00CC6A11" w:rsidRDefault="00CC6A11" w:rsidP="00CC6A1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</w:rPr>
        <w:t>Članak 1.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pacing w:val="-1"/>
          <w:sz w:val="18"/>
          <w:szCs w:val="18"/>
        </w:rPr>
        <w:t>Ovim Programom planira se gradnja objekata i uređaja komunalne infrastrukture na području Općine Brckovljani u 2007. godinu za: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75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15"/>
        <w:gridCol w:w="4423"/>
        <w:gridCol w:w="2762"/>
      </w:tblGrid>
      <w:tr w:rsidR="00CC6A11" w:rsidRPr="00CC6A11" w:rsidTr="00CC6A11">
        <w:trPr>
          <w:trHeight w:val="284"/>
          <w:jc w:val="center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javne površine</w:t>
            </w:r>
          </w:p>
        </w:tc>
        <w:tc>
          <w:tcPr>
            <w:tcW w:w="23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nerazvrstane ceste</w:t>
            </w:r>
          </w:p>
        </w:tc>
        <w:tc>
          <w:tcPr>
            <w:tcW w:w="23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groblje i</w:t>
            </w:r>
          </w:p>
        </w:tc>
        <w:tc>
          <w:tcPr>
            <w:tcW w:w="23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javnu rasvjetu</w:t>
            </w:r>
          </w:p>
        </w:tc>
        <w:tc>
          <w:tcPr>
            <w:tcW w:w="23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pacing w:val="-2"/>
          <w:sz w:val="18"/>
          <w:szCs w:val="18"/>
        </w:rPr>
        <w:t> 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pacing w:val="-2"/>
          <w:sz w:val="18"/>
          <w:szCs w:val="18"/>
        </w:rPr>
        <w:t>Građenje objekata nabrojenih u točkama 1. do 4. prednjeg stavka financirat će se iz: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75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07"/>
        <w:gridCol w:w="2711"/>
        <w:gridCol w:w="1789"/>
        <w:gridCol w:w="2693"/>
      </w:tblGrid>
      <w:tr w:rsidR="00CC6A11" w:rsidRPr="00CC6A11" w:rsidTr="00CC6A11">
        <w:trPr>
          <w:trHeight w:val="284"/>
          <w:jc w:val="center"/>
        </w:trPr>
        <w:tc>
          <w:tcPr>
            <w:tcW w:w="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komunalnog doprinosa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1.500.000,00 kn</w:t>
            </w:r>
          </w:p>
        </w:tc>
        <w:tc>
          <w:tcPr>
            <w:tcW w:w="22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propračuna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1.800.000,00 kn</w:t>
            </w:r>
          </w:p>
        </w:tc>
        <w:tc>
          <w:tcPr>
            <w:tcW w:w="22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naknada za koncesiju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145.000,00 kn</w:t>
            </w:r>
          </w:p>
        </w:tc>
        <w:tc>
          <w:tcPr>
            <w:tcW w:w="22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drugih izvora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ind w:left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- zakupnine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120.000,00 kn</w:t>
            </w:r>
          </w:p>
        </w:tc>
        <w:tc>
          <w:tcPr>
            <w:tcW w:w="22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ind w:left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- ostali prihodi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4.993.400,00 kn</w:t>
            </w:r>
          </w:p>
        </w:tc>
        <w:tc>
          <w:tcPr>
            <w:tcW w:w="22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11" w:rsidRPr="00CC6A11" w:rsidTr="00CC6A11">
        <w:trPr>
          <w:trHeight w:val="332"/>
          <w:jc w:val="center"/>
        </w:trPr>
        <w:tc>
          <w:tcPr>
            <w:tcW w:w="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UKUPNO (1-4):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8.558.400,00 kn</w:t>
            </w:r>
          </w:p>
        </w:tc>
        <w:tc>
          <w:tcPr>
            <w:tcW w:w="22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pacing w:val="-4"/>
          <w:sz w:val="18"/>
          <w:szCs w:val="18"/>
        </w:rPr>
        <w:t> </w:t>
      </w:r>
    </w:p>
    <w:p w:rsidR="00CC6A11" w:rsidRPr="00CC6A11" w:rsidRDefault="00CC6A11" w:rsidP="00CC6A1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</w:rPr>
        <w:t>Članak 2.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pacing w:val="-3"/>
          <w:sz w:val="18"/>
          <w:szCs w:val="18"/>
        </w:rPr>
        <w:t>Građenje objekata i uređaja komunalne infrastrukture i nabavke opreme za: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75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295"/>
        <w:gridCol w:w="4293"/>
        <w:gridCol w:w="2912"/>
      </w:tblGrid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opskrbu pitkom vodom,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11" w:rsidRPr="00CC6A11" w:rsidTr="00CC6A11">
        <w:trPr>
          <w:trHeight w:val="295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odvodnju i pročišćavanje otpadnih voda i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opskrbu plinom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pacing w:val="-2"/>
          <w:sz w:val="18"/>
          <w:szCs w:val="18"/>
        </w:rPr>
        <w:t>Građenje objekata nabrojenih u točkama 1. do 3. prednjeg stavka financirati će se iz: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75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295"/>
        <w:gridCol w:w="3570"/>
        <w:gridCol w:w="1744"/>
        <w:gridCol w:w="1891"/>
      </w:tblGrid>
      <w:tr w:rsidR="00CC6A11" w:rsidRPr="00CC6A11" w:rsidTr="00CC6A11">
        <w:trPr>
          <w:trHeight w:val="227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4" w:after="1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ind w:right="13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cijene komunalne usluge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150.000,00 kn</w:t>
            </w:r>
          </w:p>
        </w:tc>
        <w:tc>
          <w:tcPr>
            <w:tcW w:w="2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11" w:rsidRPr="00CC6A11" w:rsidTr="00CC6A11">
        <w:trPr>
          <w:trHeight w:val="291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ind w:right="13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naknade za priključenje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200.000,00 kn</w:t>
            </w:r>
          </w:p>
        </w:tc>
        <w:tc>
          <w:tcPr>
            <w:tcW w:w="2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ind w:right="13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proračuna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1.900.000,00 kn</w:t>
            </w:r>
          </w:p>
        </w:tc>
        <w:tc>
          <w:tcPr>
            <w:tcW w:w="2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ind w:left="408" w:right="13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naknade za koncesije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90.000,00 kn</w:t>
            </w:r>
          </w:p>
        </w:tc>
        <w:tc>
          <w:tcPr>
            <w:tcW w:w="2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ind w:left="408" w:right="13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drugih izvora</w:t>
            </w:r>
            <w:r w:rsidRPr="00CC6A11">
              <w:rPr>
                <w:rFonts w:ascii="Arial" w:eastAsia="Times New Roman" w:hAnsi="Arial" w:cs="Arial"/>
                <w:sz w:val="18"/>
              </w:rPr>
              <w:t> </w:t>
            </w: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ind w:left="408" w:right="13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- učešće građana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10.000,00 kn</w:t>
            </w:r>
          </w:p>
        </w:tc>
        <w:tc>
          <w:tcPr>
            <w:tcW w:w="2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ind w:left="408" w:right="13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- zakupnina i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75.000,00 kn</w:t>
            </w:r>
          </w:p>
        </w:tc>
        <w:tc>
          <w:tcPr>
            <w:tcW w:w="2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ind w:left="408" w:right="13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- ostali prihodi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sz w:val="18"/>
                <w:szCs w:val="18"/>
              </w:rPr>
              <w:t>2.865.000,00 kn</w:t>
            </w:r>
          </w:p>
        </w:tc>
        <w:tc>
          <w:tcPr>
            <w:tcW w:w="2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UKUPNO (1-5):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6A11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5.290.000,00 kn</w:t>
            </w:r>
          </w:p>
        </w:tc>
        <w:tc>
          <w:tcPr>
            <w:tcW w:w="2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pacing w:val="-9"/>
          <w:sz w:val="18"/>
          <w:szCs w:val="18"/>
        </w:rPr>
        <w:t> </w:t>
      </w:r>
    </w:p>
    <w:p w:rsidR="00CC6A11" w:rsidRPr="00CC6A11" w:rsidRDefault="00CC6A11" w:rsidP="00CC6A1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</w:rPr>
        <w:t>Članak 3.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pacing w:val="-5"/>
          <w:sz w:val="18"/>
          <w:szCs w:val="18"/>
        </w:rPr>
        <w:t>Objekti i prihodi navedeni u članku 1. i 2. ovog Programa raspoređuju se prema slijedećoj tabeli: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75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50"/>
        <w:gridCol w:w="5302"/>
        <w:gridCol w:w="1848"/>
      </w:tblGrid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NAZIV OBJEKTA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Planirani iznos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 u kn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A. KOMUNALNI OBJEKTI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JAVNE POVRŠINE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Projekti i izgradnje nogostupa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650.000,00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Uređenje igrališta u Gračecu, Štakorovcu i Gornjoj Gredi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Projekti pješačke zone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120.000,00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Uređenje zone društvene namiene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250.000,00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Projekti i izgradnja igrališta u Božjakovini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424.400,00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18"/>
                <w:sz w:val="18"/>
                <w:szCs w:val="18"/>
              </w:rPr>
              <w:t>UKUPNO (1):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1.474.400,00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NERAZVRSTANE CESTE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Projekti ceste i nogostupa u gospodarskoj zoni K-1 + UPU K1-3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200.000,00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Asfaltiranje nerazvrstanih cesta - otplata duga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3.820.000,00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Izgradnja cesta u gospodarskoj zoni K-1 Božjakovina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2.000.000,00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26"/>
                <w:sz w:val="18"/>
                <w:szCs w:val="18"/>
              </w:rPr>
              <w:t>UKUPNO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(2):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6.020.000,00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GROBLJE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Projekti za dogradnju mrtvačnice + DPU groblja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170.000,00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Izgradnja groblja u Brckovljanima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394.000,00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Uređenje mrtvačnice na groblju u Brckovljanima i Lupoglavu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400.000,00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29"/>
                <w:sz w:val="18"/>
                <w:szCs w:val="18"/>
              </w:rPr>
              <w:t>UKUPNO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pacing w:val="-13"/>
                <w:sz w:val="18"/>
                <w:szCs w:val="18"/>
              </w:rPr>
              <w:t>(3):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964.000,00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JAVNA RASVJETA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Izgradnja javne rasvjete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100.000,00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29"/>
                <w:sz w:val="18"/>
                <w:szCs w:val="18"/>
              </w:rPr>
              <w:t>UKUPNO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pacing w:val="-13"/>
                <w:sz w:val="18"/>
                <w:szCs w:val="18"/>
              </w:rPr>
              <w:t>(4):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100.000,00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29"/>
                <w:sz w:val="18"/>
                <w:szCs w:val="18"/>
              </w:rPr>
              <w:t>UKUPNO "A"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8.558.400.00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B. KOMUNALNI OBJEKTI I OPREMA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OPSKRBA VODOM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Projekti za rekonstrukciju mag. vodovoda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100.000,00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Projekti za vodovodnu mrežu u gospodarskoj zoni K-1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150.000,00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5.3.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Izgradnja - rekonstrukcija vodovoda Gračec + ulice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1.400.000,00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5.4.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Izgradnja vodovoda u gospodarskoj zoni K-1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350.000,00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27"/>
                <w:sz w:val="18"/>
                <w:szCs w:val="18"/>
              </w:rPr>
              <w:t>UKUPNO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(5):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2.000.000,00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OBJEKTI ZA ODVODNJU I PROČIŠĆAVANJE OTPADNIH VODA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Projekti kanalizacije u gospdarskoj zoni K-1-3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240.000,00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Projekt prečistača otpadnih voda i kanalizacije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300.000,00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Izgradnja kanalizacije u gospodarskoj zoni K-1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500.000,00</w:t>
            </w:r>
          </w:p>
        </w:tc>
      </w:tr>
      <w:tr w:rsidR="00CC6A11" w:rsidRPr="00CC6A11" w:rsidTr="00CC6A11">
        <w:trPr>
          <w:trHeight w:val="233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Izgradnja kanalizacije u Brckovljanima, Gračecu, Božjakovini</w:t>
            </w:r>
            <w:r w:rsidRPr="00CC6A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i Prikraju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2.000.000,00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25"/>
                <w:sz w:val="18"/>
                <w:szCs w:val="18"/>
              </w:rPr>
              <w:t>UKUPNO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(6):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3.040.000,00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OPSKRBA PLINOM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Projekti za plinovod u gospodarskoj zoni K-1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100.000,00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Izgradnja plinovodne mreže u gospodarskoj zoni K-1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150.000,00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27"/>
                <w:sz w:val="18"/>
                <w:szCs w:val="18"/>
              </w:rPr>
              <w:t>UKUPNO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  <w:r w:rsidRPr="00CC6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(7):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250.000,00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27"/>
                <w:sz w:val="18"/>
                <w:szCs w:val="18"/>
              </w:rPr>
              <w:t>UKUPNO (B):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5.290.000,00</w:t>
            </w:r>
          </w:p>
        </w:tc>
      </w:tr>
      <w:tr w:rsidR="00CC6A11" w:rsidRPr="00CC6A11" w:rsidTr="00CC6A11">
        <w:trPr>
          <w:trHeight w:val="284"/>
          <w:jc w:val="center"/>
        </w:trPr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27"/>
                <w:sz w:val="18"/>
                <w:szCs w:val="18"/>
              </w:rPr>
              <w:t>UKUPNO (A+B):</w:t>
            </w:r>
          </w:p>
        </w:tc>
        <w:tc>
          <w:tcPr>
            <w:tcW w:w="19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13.848.400,00</w:t>
            </w:r>
          </w:p>
        </w:tc>
      </w:tr>
    </w:tbl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pacing w:val="-9"/>
          <w:sz w:val="18"/>
          <w:szCs w:val="18"/>
        </w:rPr>
        <w:t> </w:t>
      </w:r>
    </w:p>
    <w:p w:rsidR="00CC6A11" w:rsidRPr="00CC6A11" w:rsidRDefault="00CC6A11" w:rsidP="00CC6A1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</w:rPr>
        <w:t>Članak 4.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pacing w:val="-4"/>
          <w:sz w:val="18"/>
          <w:szCs w:val="18"/>
        </w:rPr>
        <w:t>Ovaj Program stupa na snagu 01.01.2007. i biti će objavljen u Službenom glasniku općine Brckovljani.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CC6A11" w:rsidRPr="00CC6A11" w:rsidTr="00CC6A1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CC6A11" w:rsidRPr="00CC6A11" w:rsidRDefault="00CC6A11" w:rsidP="00C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CC6A11" w:rsidRPr="00CC6A11" w:rsidRDefault="00CC6A11" w:rsidP="00CC6A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A11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CC6A11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CC6A11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CC6A1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C6A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 v.r.</w:t>
            </w:r>
          </w:p>
        </w:tc>
      </w:tr>
    </w:tbl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C6A11" w:rsidRPr="00CC6A11" w:rsidRDefault="00CC6A11" w:rsidP="00CC6A1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6A11">
        <w:rPr>
          <w:rFonts w:ascii="Arial" w:eastAsia="Times New Roman" w:hAnsi="Arial" w:cs="Arial"/>
          <w:color w:val="000000"/>
          <w:spacing w:val="-4"/>
          <w:sz w:val="18"/>
          <w:szCs w:val="18"/>
        </w:rPr>
        <w:t>Klasa: 021-05/06-01/121</w:t>
      </w:r>
      <w:r w:rsidRPr="00CC6A11">
        <w:rPr>
          <w:rFonts w:ascii="Arial" w:eastAsia="Times New Roman" w:hAnsi="Arial" w:cs="Arial"/>
          <w:color w:val="000000"/>
          <w:spacing w:val="-4"/>
          <w:sz w:val="18"/>
          <w:szCs w:val="18"/>
        </w:rPr>
        <w:br/>
      </w:r>
      <w:r w:rsidRPr="00CC6A11">
        <w:rPr>
          <w:rFonts w:ascii="Arial" w:eastAsia="Times New Roman" w:hAnsi="Arial" w:cs="Arial"/>
          <w:color w:val="000000"/>
          <w:spacing w:val="-2"/>
          <w:sz w:val="18"/>
          <w:szCs w:val="18"/>
        </w:rPr>
        <w:t>Ur.broj: 238/04-06-4</w:t>
      </w:r>
      <w:r w:rsidRPr="00CC6A11">
        <w:rPr>
          <w:rFonts w:ascii="Arial" w:eastAsia="Times New Roman" w:hAnsi="Arial" w:cs="Arial"/>
          <w:color w:val="000000"/>
          <w:spacing w:val="-2"/>
          <w:sz w:val="18"/>
          <w:szCs w:val="18"/>
        </w:rPr>
        <w:br/>
      </w:r>
      <w:r w:rsidRPr="00CC6A11">
        <w:rPr>
          <w:rFonts w:ascii="Arial" w:eastAsia="Times New Roman" w:hAnsi="Arial" w:cs="Arial"/>
          <w:color w:val="000000"/>
          <w:spacing w:val="-4"/>
          <w:sz w:val="18"/>
          <w:szCs w:val="18"/>
        </w:rPr>
        <w:t>Dugo Selo, 08.12.2006.</w:t>
      </w:r>
    </w:p>
    <w:p w:rsidR="003C27EF" w:rsidRDefault="003C27EF"/>
    <w:sectPr w:rsidR="003C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C6A11"/>
    <w:rsid w:val="003C27EF"/>
    <w:rsid w:val="00CC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CC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C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C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C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C6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2016-07-19T20:21:00Z</dcterms:created>
  <dcterms:modified xsi:type="dcterms:W3CDTF">2016-07-19T20:21:00Z</dcterms:modified>
</cp:coreProperties>
</file>